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pPr>
        <w:jc w:val="cente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bookmarkStart w:id="0" w:name="_Hlk70759938"/>
            <w:r>
              <w:rPr>
                <w:rFonts w:ascii="宋体" w:hAnsi="宋体" w:hint="eastAsia"/>
                <w:color w:val="000000"/>
                <w:kern w:val="0"/>
                <w:sz w:val="24"/>
                <w:szCs w:val="24"/>
              </w:rPr>
              <w:t>单元名称</w:t>
            </w:r>
          </w:p>
        </w:tc>
        <w:tc>
          <w:tcPr>
            <w:tcW w:w="3543" w:type="dxa"/>
            <w:vAlign w:val="center"/>
          </w:tcPr>
          <w:p w14:paraId="552EF32E" w14:textId="4CCC14B6" w:rsidR="00F1407B" w:rsidRPr="00A640EC" w:rsidRDefault="00A640EC">
            <w:pPr>
              <w:widowControl/>
              <w:adjustRightInd w:val="0"/>
              <w:snapToGrid w:val="0"/>
              <w:spacing w:line="400" w:lineRule="exact"/>
              <w:jc w:val="center"/>
              <w:rPr>
                <w:rFonts w:ascii="宋体" w:hAnsi="宋体"/>
                <w:bCs/>
                <w:color w:val="000000"/>
                <w:kern w:val="0"/>
                <w:sz w:val="24"/>
                <w:szCs w:val="24"/>
              </w:rPr>
            </w:pPr>
            <w:r w:rsidRPr="00A640EC">
              <w:rPr>
                <w:rFonts w:ascii="宋体" w:hAnsi="宋体" w:hint="eastAsia"/>
                <w:bCs/>
                <w:sz w:val="24"/>
                <w:szCs w:val="24"/>
                <w:lang w:val="zh-CN"/>
              </w:rPr>
              <w:t>高频功率放大与发射</w:t>
            </w:r>
            <w:r w:rsidR="00A02AE8" w:rsidRPr="00A02AE8">
              <w:rPr>
                <w:rFonts w:ascii="宋体" w:hAnsi="宋体" w:hint="eastAsia"/>
                <w:bCs/>
                <w:sz w:val="24"/>
                <w:szCs w:val="24"/>
                <w:lang w:val="zh-CN"/>
              </w:rPr>
              <w:t>器的检测</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bookmarkEnd w:id="0"/>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根据高职高专教育特点，以培养职业能力为主，按照实际、实践、实用的原则，培养学生较强的综合职业能力。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3BD1AAC6" w14:textId="77777777" w:rsidR="00746783" w:rsidRDefault="00746783" w:rsidP="00746783">
      <w:pPr>
        <w:rPr>
          <w:rFonts w:ascii="宋体" w:hAnsi="宋体"/>
          <w:szCs w:val="21"/>
        </w:rPr>
      </w:pPr>
      <w:r>
        <w:rPr>
          <w:rFonts w:ascii="宋体" w:hAnsi="宋体" w:hint="eastAsia"/>
          <w:szCs w:val="21"/>
        </w:rPr>
        <w:t>(1) 了解丙类功率放大器的基本工作原理，掌握丙类功率放大器的调谐特性以负载变化时的动态特性。</w:t>
      </w:r>
    </w:p>
    <w:p w14:paraId="75915148" w14:textId="5026D23F" w:rsidR="00746783" w:rsidRDefault="00746783" w:rsidP="00746783">
      <w:pPr>
        <w:tabs>
          <w:tab w:val="left" w:pos="525"/>
        </w:tabs>
        <w:rPr>
          <w:rFonts w:ascii="宋体" w:hAnsi="宋体"/>
          <w:szCs w:val="21"/>
        </w:rPr>
      </w:pPr>
      <w:r>
        <w:rPr>
          <w:rFonts w:ascii="宋体" w:hAnsi="宋体" w:hint="eastAsia"/>
          <w:szCs w:val="21"/>
        </w:rPr>
        <w:t>(2) 了解激励信号变化对功率放大器工作状态的影响。</w:t>
      </w:r>
    </w:p>
    <w:p w14:paraId="62E831D0" w14:textId="607A554A" w:rsidR="00746783" w:rsidRDefault="00746783" w:rsidP="00746783">
      <w:pPr>
        <w:rPr>
          <w:rFonts w:ascii="宋体" w:hAnsi="宋体"/>
          <w:szCs w:val="21"/>
        </w:rPr>
      </w:pPr>
      <w:r>
        <w:rPr>
          <w:rFonts w:ascii="宋体" w:hAnsi="宋体" w:hint="eastAsia"/>
          <w:szCs w:val="21"/>
        </w:rPr>
        <w:t>(3)比较甲类功率放大器与丙类功率放大器的功率、效率与特点。</w:t>
      </w:r>
    </w:p>
    <w:p w14:paraId="3AE0061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三、单元教学目标设计</w:t>
      </w:r>
    </w:p>
    <w:p w14:paraId="3F5590A5" w14:textId="77777777" w:rsidR="00F1407B" w:rsidRDefault="004B4C81">
      <w:pPr>
        <w:widowControl/>
        <w:adjustRightInd w:val="0"/>
        <w:snapToGrid w:val="0"/>
        <w:spacing w:line="400" w:lineRule="exact"/>
        <w:ind w:leftChars="200" w:left="420"/>
        <w:jc w:val="left"/>
        <w:rPr>
          <w:rFonts w:ascii="宋体"/>
          <w:kern w:val="0"/>
          <w:sz w:val="24"/>
          <w:szCs w:val="24"/>
        </w:rPr>
      </w:pPr>
      <w:r>
        <w:rPr>
          <w:rFonts w:ascii="宋体" w:hAnsi="宋体"/>
          <w:kern w:val="0"/>
          <w:sz w:val="24"/>
          <w:szCs w:val="24"/>
        </w:rPr>
        <w:t>1.</w:t>
      </w:r>
      <w:r>
        <w:rPr>
          <w:rFonts w:ascii="宋体" w:hAnsi="宋体" w:hint="eastAsia"/>
          <w:kern w:val="0"/>
          <w:sz w:val="24"/>
          <w:szCs w:val="24"/>
        </w:rPr>
        <w:t>知识目标</w:t>
      </w:r>
    </w:p>
    <w:p w14:paraId="5C01174E" w14:textId="4F656C5B" w:rsidR="00F05FDA" w:rsidRPr="000D703F" w:rsidRDefault="00CE5523" w:rsidP="000D703F">
      <w:pPr>
        <w:pStyle w:val="aa"/>
        <w:numPr>
          <w:ilvl w:val="0"/>
          <w:numId w:val="4"/>
        </w:numPr>
        <w:tabs>
          <w:tab w:val="left" w:pos="525"/>
        </w:tabs>
        <w:jc w:val="left"/>
        <w:rPr>
          <w:rFonts w:ascii="宋体" w:hAnsi="宋体"/>
        </w:rPr>
      </w:pPr>
      <w:r>
        <w:rPr>
          <w:rFonts w:ascii="宋体" w:hAnsi="宋体" w:hint="eastAsia"/>
        </w:rPr>
        <w:t>谐振功率放大器的工作原理及特性分析</w:t>
      </w:r>
    </w:p>
    <w:p w14:paraId="30E7FC67" w14:textId="3A4BE3E3" w:rsidR="00F05FDA" w:rsidRPr="000D703F" w:rsidRDefault="000D703F" w:rsidP="000D703F">
      <w:pPr>
        <w:pStyle w:val="aa"/>
        <w:tabs>
          <w:tab w:val="left" w:pos="525"/>
        </w:tabs>
        <w:ind w:left="360" w:firstLine="0"/>
        <w:jc w:val="left"/>
        <w:rPr>
          <w:rFonts w:ascii="宋体" w:hAnsi="宋体"/>
        </w:rPr>
      </w:pPr>
      <w:r>
        <w:rPr>
          <w:rFonts w:ascii="宋体" w:hAnsi="宋体" w:hint="eastAsia"/>
        </w:rPr>
        <w:t>（2）</w:t>
      </w:r>
      <w:r w:rsidR="00CE5523">
        <w:rPr>
          <w:rFonts w:ascii="宋体" w:hAnsi="宋体" w:hint="eastAsia"/>
        </w:rPr>
        <w:t>传输线变压器及功率合成技术</w:t>
      </w:r>
    </w:p>
    <w:p w14:paraId="08960C2F" w14:textId="33B090CD" w:rsidR="00F05FDA" w:rsidRDefault="000D703F" w:rsidP="000D703F">
      <w:pPr>
        <w:widowControl/>
        <w:adjustRightInd w:val="0"/>
        <w:snapToGrid w:val="0"/>
        <w:spacing w:line="400" w:lineRule="exact"/>
        <w:ind w:firstLineChars="100" w:firstLine="240"/>
        <w:jc w:val="left"/>
        <w:rPr>
          <w:rFonts w:ascii="宋体" w:hAnsi="宋体"/>
          <w:sz w:val="24"/>
        </w:rPr>
      </w:pPr>
      <w:r>
        <w:rPr>
          <w:rFonts w:ascii="宋体" w:hAnsi="宋体" w:hint="eastAsia"/>
          <w:sz w:val="24"/>
        </w:rPr>
        <w:t>（3）</w:t>
      </w:r>
      <w:r w:rsidR="00CE5523">
        <w:rPr>
          <w:rFonts w:ascii="宋体" w:hAnsi="宋体" w:hint="eastAsia"/>
          <w:sz w:val="24"/>
        </w:rPr>
        <w:t>宽带高频功率放大器</w:t>
      </w:r>
    </w:p>
    <w:p w14:paraId="17AFC6E4" w14:textId="60FCAC89" w:rsidR="00CE5523" w:rsidRPr="000D703F" w:rsidRDefault="00CE5523" w:rsidP="000D703F">
      <w:pPr>
        <w:widowControl/>
        <w:adjustRightInd w:val="0"/>
        <w:snapToGrid w:val="0"/>
        <w:spacing w:line="400" w:lineRule="exact"/>
        <w:ind w:firstLineChars="100" w:firstLine="240"/>
        <w:jc w:val="left"/>
        <w:rPr>
          <w:rFonts w:ascii="宋体" w:hAnsi="宋体"/>
          <w:sz w:val="24"/>
        </w:rPr>
      </w:pPr>
      <w:r>
        <w:rPr>
          <w:rFonts w:ascii="宋体" w:hAnsi="宋体" w:hint="eastAsia"/>
          <w:sz w:val="24"/>
        </w:rPr>
        <w:t>（4）倍频器</w:t>
      </w:r>
    </w:p>
    <w:p w14:paraId="7BF9E65B" w14:textId="7F5E124E" w:rsidR="00F1407B" w:rsidRPr="000D703F" w:rsidRDefault="004B4C81" w:rsidP="00F05FDA">
      <w:pPr>
        <w:widowControl/>
        <w:adjustRightInd w:val="0"/>
        <w:snapToGrid w:val="0"/>
        <w:spacing w:line="400" w:lineRule="exact"/>
        <w:ind w:leftChars="200" w:left="420"/>
        <w:jc w:val="left"/>
        <w:rPr>
          <w:rFonts w:ascii="宋体" w:hAnsi="宋体"/>
          <w:kern w:val="0"/>
          <w:sz w:val="24"/>
          <w:szCs w:val="24"/>
        </w:rPr>
      </w:pPr>
      <w:r w:rsidRPr="000D703F">
        <w:rPr>
          <w:rFonts w:ascii="宋体" w:hAnsi="宋体"/>
          <w:kern w:val="0"/>
          <w:sz w:val="24"/>
          <w:szCs w:val="24"/>
        </w:rPr>
        <w:t>2.</w:t>
      </w:r>
      <w:r w:rsidRPr="000D703F">
        <w:rPr>
          <w:rFonts w:ascii="宋体" w:hAnsi="宋体" w:hint="eastAsia"/>
          <w:kern w:val="0"/>
          <w:sz w:val="24"/>
          <w:szCs w:val="24"/>
        </w:rPr>
        <w:t>技能目标</w:t>
      </w:r>
    </w:p>
    <w:p w14:paraId="113B20A8" w14:textId="77777777" w:rsidR="001641BE" w:rsidRDefault="001641BE" w:rsidP="001641BE">
      <w:pPr>
        <w:rPr>
          <w:rFonts w:ascii="宋体" w:hAnsi="宋体"/>
          <w:szCs w:val="21"/>
        </w:rPr>
      </w:pPr>
      <w:r>
        <w:rPr>
          <w:rFonts w:ascii="宋体" w:hAnsi="宋体" w:hint="eastAsia"/>
          <w:szCs w:val="21"/>
        </w:rPr>
        <w:t>(1) 了解丙类功率放大器的基本工作原理，掌握丙类功率放大器的调谐特性以负载变化时的动态特性。</w:t>
      </w:r>
    </w:p>
    <w:p w14:paraId="246077BE" w14:textId="74A9ADBE" w:rsidR="001641BE" w:rsidRDefault="001641BE" w:rsidP="001641BE">
      <w:pPr>
        <w:tabs>
          <w:tab w:val="left" w:pos="525"/>
        </w:tabs>
        <w:rPr>
          <w:rFonts w:ascii="宋体" w:hAnsi="宋体"/>
          <w:szCs w:val="21"/>
        </w:rPr>
      </w:pPr>
      <w:r>
        <w:rPr>
          <w:rFonts w:ascii="宋体" w:hAnsi="宋体" w:hint="eastAsia"/>
          <w:szCs w:val="21"/>
        </w:rPr>
        <w:t>(2) 了解激励信号变化对功率放大器工作状态的影响。</w:t>
      </w:r>
    </w:p>
    <w:p w14:paraId="23DE7C08" w14:textId="3DB0BAEB" w:rsidR="001641BE" w:rsidRDefault="001641BE" w:rsidP="001641BE">
      <w:pPr>
        <w:rPr>
          <w:rFonts w:ascii="宋体" w:hAnsi="宋体"/>
          <w:szCs w:val="21"/>
        </w:rPr>
      </w:pPr>
      <w:r>
        <w:rPr>
          <w:rFonts w:ascii="宋体" w:hAnsi="宋体" w:hint="eastAsia"/>
          <w:szCs w:val="21"/>
        </w:rPr>
        <w:t>(3)比较甲类功率放大器与丙类功率放大器的功率、效率与特点。</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lastRenderedPageBreak/>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（2）培养团队协作意识。</w:t>
      </w:r>
    </w:p>
    <w:p w14:paraId="2F4F7298" w14:textId="77777777" w:rsidR="00F1407B" w:rsidRDefault="004B4C81">
      <w:pPr>
        <w:pStyle w:val="01"/>
        <w:ind w:firstLine="480"/>
      </w:pPr>
      <w:r>
        <w:rPr>
          <w:rFonts w:hint="eastAsia"/>
        </w:rPr>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4．思政目标</w:t>
      </w:r>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6266"/>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622355E9" w14:textId="77777777" w:rsidR="00493C21" w:rsidRPr="000D703F" w:rsidRDefault="00493C21" w:rsidP="00493C21">
            <w:pPr>
              <w:pStyle w:val="aa"/>
              <w:numPr>
                <w:ilvl w:val="0"/>
                <w:numId w:val="5"/>
              </w:numPr>
              <w:tabs>
                <w:tab w:val="left" w:pos="525"/>
              </w:tabs>
              <w:jc w:val="left"/>
              <w:rPr>
                <w:rFonts w:ascii="宋体" w:hAnsi="宋体"/>
              </w:rPr>
            </w:pPr>
            <w:r>
              <w:rPr>
                <w:rFonts w:ascii="宋体" w:hAnsi="宋体" w:hint="eastAsia"/>
              </w:rPr>
              <w:t>谐振功率放大器的工作原理及特性分析</w:t>
            </w:r>
          </w:p>
          <w:p w14:paraId="00A3C076" w14:textId="77777777" w:rsidR="00493C21" w:rsidRPr="000D703F" w:rsidRDefault="00493C21" w:rsidP="00493C21">
            <w:pPr>
              <w:pStyle w:val="aa"/>
              <w:tabs>
                <w:tab w:val="left" w:pos="525"/>
              </w:tabs>
              <w:ind w:left="360" w:firstLine="0"/>
              <w:jc w:val="left"/>
              <w:rPr>
                <w:rFonts w:ascii="宋体" w:hAnsi="宋体"/>
              </w:rPr>
            </w:pPr>
            <w:r>
              <w:rPr>
                <w:rFonts w:ascii="宋体" w:hAnsi="宋体" w:hint="eastAsia"/>
              </w:rPr>
              <w:t>（2）传输线变压器及功率合成技术</w:t>
            </w:r>
          </w:p>
          <w:p w14:paraId="273C2F88" w14:textId="553F7BE1" w:rsidR="00F1407B" w:rsidRPr="00493C21" w:rsidRDefault="00493C21" w:rsidP="00493C21">
            <w:pPr>
              <w:widowControl/>
              <w:adjustRightInd w:val="0"/>
              <w:snapToGrid w:val="0"/>
              <w:spacing w:line="400" w:lineRule="exact"/>
              <w:ind w:firstLineChars="100" w:firstLine="240"/>
              <w:jc w:val="left"/>
              <w:rPr>
                <w:rFonts w:ascii="宋体" w:hAnsi="宋体"/>
                <w:sz w:val="24"/>
              </w:rPr>
            </w:pPr>
            <w:r>
              <w:rPr>
                <w:rFonts w:ascii="宋体" w:hAnsi="宋体" w:hint="eastAsia"/>
                <w:sz w:val="24"/>
              </w:rPr>
              <w:t>（3）宽带高频功率放大器</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4D6657F1" w14:textId="77777777" w:rsidR="00493C21" w:rsidRDefault="00493C21" w:rsidP="00493C21">
            <w:pPr>
              <w:rPr>
                <w:rFonts w:ascii="宋体" w:hAnsi="宋体"/>
                <w:szCs w:val="21"/>
              </w:rPr>
            </w:pPr>
            <w:r>
              <w:rPr>
                <w:rFonts w:ascii="宋体" w:hAnsi="宋体" w:hint="eastAsia"/>
                <w:szCs w:val="21"/>
              </w:rPr>
              <w:t>(1) 了解丙类功率放大器的基本工作原理，掌握丙类功率放大器的调谐特性以负载变化时的动态特性。</w:t>
            </w:r>
          </w:p>
          <w:p w14:paraId="6A48A319" w14:textId="77777777" w:rsidR="00493C21" w:rsidRDefault="00493C21" w:rsidP="00493C21">
            <w:pPr>
              <w:tabs>
                <w:tab w:val="left" w:pos="525"/>
              </w:tabs>
              <w:rPr>
                <w:rFonts w:ascii="宋体" w:hAnsi="宋体"/>
                <w:szCs w:val="21"/>
              </w:rPr>
            </w:pPr>
            <w:r>
              <w:rPr>
                <w:rFonts w:ascii="宋体" w:hAnsi="宋体" w:hint="eastAsia"/>
                <w:szCs w:val="21"/>
              </w:rPr>
              <w:t>(2) 了解激励信号变化对功率放大器工作状态的影响。</w:t>
            </w:r>
          </w:p>
          <w:p w14:paraId="7E5AB61E" w14:textId="18D58F03" w:rsidR="00F1407B" w:rsidRPr="00493C21" w:rsidRDefault="00493C21">
            <w:pPr>
              <w:rPr>
                <w:rFonts w:ascii="宋体" w:hAnsi="宋体"/>
                <w:szCs w:val="21"/>
              </w:rPr>
            </w:pPr>
            <w:r>
              <w:rPr>
                <w:rFonts w:ascii="宋体" w:hAnsi="宋体" w:hint="eastAsia"/>
                <w:szCs w:val="21"/>
              </w:rPr>
              <w:t>(3)比较甲类功率放大器与丙类功率放大器的功率、效率与特点。</w:t>
            </w: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22E7C6A8" w14:textId="77777777" w:rsidR="00493C21" w:rsidRPr="000D703F" w:rsidRDefault="00493C21" w:rsidP="00493C21">
            <w:pPr>
              <w:pStyle w:val="aa"/>
              <w:numPr>
                <w:ilvl w:val="0"/>
                <w:numId w:val="6"/>
              </w:numPr>
              <w:tabs>
                <w:tab w:val="left" w:pos="525"/>
              </w:tabs>
              <w:jc w:val="left"/>
              <w:rPr>
                <w:rFonts w:ascii="宋体" w:hAnsi="宋体"/>
              </w:rPr>
            </w:pPr>
            <w:r>
              <w:rPr>
                <w:rFonts w:ascii="宋体" w:hAnsi="宋体" w:hint="eastAsia"/>
              </w:rPr>
              <w:t>谐振功率放大器的工作原理及特性分析</w:t>
            </w:r>
          </w:p>
          <w:p w14:paraId="26B7FBEC" w14:textId="165ACBC7" w:rsidR="00F1407B" w:rsidRPr="00493C21" w:rsidRDefault="00493C21" w:rsidP="00493C21">
            <w:pPr>
              <w:pStyle w:val="aa"/>
              <w:tabs>
                <w:tab w:val="left" w:pos="525"/>
              </w:tabs>
              <w:ind w:left="360" w:firstLine="0"/>
              <w:jc w:val="left"/>
              <w:rPr>
                <w:rFonts w:ascii="宋体" w:hAnsi="宋体"/>
              </w:rPr>
            </w:pPr>
            <w:r>
              <w:rPr>
                <w:rFonts w:ascii="宋体" w:hAnsi="宋体" w:hint="eastAsia"/>
              </w:rPr>
              <w:t>（2）传输线变压器及功率合成技术</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0CB7A80B" w:rsidR="00F1407B" w:rsidRPr="00493C21" w:rsidRDefault="00493C21" w:rsidP="00493C21">
            <w:pPr>
              <w:pStyle w:val="aa"/>
              <w:tabs>
                <w:tab w:val="left" w:pos="525"/>
              </w:tabs>
              <w:ind w:left="360" w:firstLine="0"/>
              <w:jc w:val="left"/>
              <w:rPr>
                <w:rFonts w:ascii="宋体" w:hAnsi="宋体"/>
              </w:rPr>
            </w:pPr>
            <w:r>
              <w:rPr>
                <w:rFonts w:ascii="宋体" w:hAnsi="宋体" w:hint="eastAsia"/>
              </w:rPr>
              <w:t>传输线变压器及功率合成技术</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r>
              <w:rPr>
                <w:rFonts w:ascii="宋体" w:hAnsi="宋体" w:hint="eastAsia"/>
                <w:sz w:val="24"/>
                <w:szCs w:val="24"/>
              </w:rPr>
              <w:t>思政映射与融入点以及预期成效</w:t>
            </w:r>
          </w:p>
        </w:tc>
        <w:tc>
          <w:tcPr>
            <w:tcW w:w="6435" w:type="dxa"/>
          </w:tcPr>
          <w:p w14:paraId="010FB9DE" w14:textId="05856CB9" w:rsidR="00F1407B" w:rsidRPr="0028326C" w:rsidRDefault="004B4C81" w:rsidP="0028326C">
            <w:pPr>
              <w:spacing w:line="400" w:lineRule="exact"/>
              <w:rPr>
                <w:rFonts w:ascii="宋体" w:hAnsi="宋体"/>
                <w:b/>
                <w:sz w:val="24"/>
                <w:szCs w:val="24"/>
              </w:rPr>
            </w:pPr>
            <w:r>
              <w:rPr>
                <w:rFonts w:ascii="宋体" w:hAnsi="宋体" w:hint="eastAsia"/>
                <w:szCs w:val="21"/>
              </w:rPr>
              <w:t>从</w:t>
            </w:r>
            <w:r w:rsidR="00493C21" w:rsidRPr="00493C21">
              <w:rPr>
                <w:rFonts w:ascii="宋体" w:hAnsi="宋体" w:hint="eastAsia"/>
                <w:szCs w:val="21"/>
              </w:rPr>
              <w:t>高频功率放大与发射</w:t>
            </w:r>
            <w:r w:rsidR="00A02AE8">
              <w:rPr>
                <w:rFonts w:ascii="宋体" w:hAnsi="宋体" w:hint="eastAsia"/>
                <w:szCs w:val="21"/>
              </w:rPr>
              <w:t>器</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w:t>
      </w:r>
      <w:r>
        <w:rPr>
          <w:rFonts w:ascii="宋体" w:hAnsi="宋体" w:cs="宋体" w:hint="eastAsia"/>
          <w:color w:val="000000"/>
          <w:sz w:val="24"/>
          <w:szCs w:val="24"/>
        </w:rPr>
        <w:lastRenderedPageBreak/>
        <w:t>手实训开展。课堂设置师生互动环节，并且将课堂内容进一步细化成小节，让学生进行课堂评价，以此掌握学生课堂学习情况，老师根据学生的课堂评价情况制定下节课的课程复习内容。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t>（一）教学模式设计</w:t>
      </w:r>
    </w:p>
    <w:p w14:paraId="247A3687" w14:textId="77777777" w:rsidR="00F1407B" w:rsidRDefault="004B4C81">
      <w:pPr>
        <w:spacing w:line="400" w:lineRule="exact"/>
        <w:ind w:firstLine="420"/>
        <w:rPr>
          <w:rFonts w:ascii="宋体" w:hAnsi="宋体"/>
          <w:sz w:val="24"/>
          <w:szCs w:val="24"/>
        </w:rPr>
      </w:pPr>
      <w:bookmarkStart w:id="1"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1"/>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2"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lastRenderedPageBreak/>
        <w:t>在“效果检查”和“学业评价”环节，采用问答法，学生对自己维修的电视机有一个新的认识，通过问答形式对学生的掌握情况进行核实，以确定是否需要再进行补充辅导或对知识进行再拓展。</w:t>
      </w:r>
      <w:bookmarkEnd w:id="2"/>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3" w:name="_Hlk523130057"/>
      <w:r>
        <w:rPr>
          <w:rFonts w:ascii="宋体" w:hAnsi="宋体" w:hint="eastAsia"/>
          <w:b/>
          <w:sz w:val="24"/>
          <w:szCs w:val="24"/>
        </w:rPr>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3"/>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课前准备：教师提前在在线教学平台上传发布项目任务书和课程资源，学生按照要求自行分组合作。在在线平台上学生可以实时反馈问题，教师收集并整理。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w:t>
      </w:r>
      <w:r>
        <w:rPr>
          <w:rFonts w:hint="eastAsia"/>
        </w:rPr>
        <w:lastRenderedPageBreak/>
        <w:t>准配备，专兼比例1：1。</w:t>
      </w:r>
      <w:r>
        <w:rPr>
          <w:rFonts w:cs="宋体" w:hint="eastAsia"/>
          <w:color w:val="000000"/>
          <w:szCs w:val="24"/>
        </w:rPr>
        <w:t>均为双师型教师。校内教师负责学习情境必要的课堂讲授和校内实训指导，兼职教师负责校外实训和顶岗实习。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ACDABDC"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F46CADA"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rsidP="0027228A">
      <w:pPr>
        <w:adjustRightInd w:val="0"/>
        <w:snapToGrid w:val="0"/>
        <w:spacing w:beforeLines="50" w:before="156" w:afterLines="50" w:after="156"/>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（包括思政元素等）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r>
              <w:rPr>
                <w:rFonts w:ascii="宋体" w:hAnsi="宋体" w:cs="宋体" w:hint="eastAsia"/>
                <w:szCs w:val="21"/>
              </w:rPr>
              <w:t>知网和相关搜索引擎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F1407B" w14:paraId="490270A5" w14:textId="77777777">
        <w:tc>
          <w:tcPr>
            <w:tcW w:w="1384" w:type="dxa"/>
            <w:vMerge w:val="restart"/>
            <w:vAlign w:val="center"/>
          </w:tcPr>
          <w:p w14:paraId="31294CEC" w14:textId="77777777" w:rsidR="00F1407B" w:rsidRDefault="004B4C81">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F1407B" w:rsidRDefault="004B4C81">
            <w:pPr>
              <w:spacing w:line="400" w:lineRule="exact"/>
              <w:jc w:val="center"/>
              <w:rPr>
                <w:rFonts w:ascii="宋体" w:hAnsi="宋体" w:cs="宋体"/>
                <w:szCs w:val="21"/>
              </w:rPr>
            </w:pPr>
            <w:r>
              <w:rPr>
                <w:rFonts w:ascii="宋体" w:hAnsi="宋体" w:cs="宋体" w:hint="eastAsia"/>
                <w:szCs w:val="21"/>
              </w:rPr>
              <w:t>讲解要点</w:t>
            </w:r>
          </w:p>
        </w:tc>
        <w:tc>
          <w:tcPr>
            <w:tcW w:w="1417" w:type="dxa"/>
            <w:vAlign w:val="center"/>
          </w:tcPr>
          <w:p w14:paraId="15E93A3B" w14:textId="2978EC47" w:rsidR="00C22863" w:rsidRPr="00C22863" w:rsidRDefault="00C22863" w:rsidP="00C22863">
            <w:pPr>
              <w:spacing w:line="400" w:lineRule="exact"/>
              <w:jc w:val="center"/>
              <w:rPr>
                <w:rFonts w:ascii="宋体" w:hAnsi="宋体" w:cs="宋体"/>
                <w:szCs w:val="21"/>
              </w:rPr>
            </w:pPr>
            <w:r w:rsidRPr="00C22863">
              <w:rPr>
                <w:rFonts w:ascii="宋体" w:hAnsi="宋体" w:cs="宋体" w:hint="eastAsia"/>
                <w:szCs w:val="21"/>
              </w:rPr>
              <w:t>谐振功率放大器的工作原理</w:t>
            </w:r>
            <w:r>
              <w:rPr>
                <w:rFonts w:ascii="宋体" w:hAnsi="宋体" w:cs="宋体" w:hint="eastAsia"/>
                <w:szCs w:val="21"/>
              </w:rPr>
              <w:t>；</w:t>
            </w:r>
          </w:p>
          <w:p w14:paraId="6AE9E7A5" w14:textId="365CD0D6" w:rsidR="00F1407B" w:rsidRPr="00C22863" w:rsidRDefault="00C22863" w:rsidP="00C22863">
            <w:pPr>
              <w:spacing w:line="400" w:lineRule="exact"/>
              <w:jc w:val="center"/>
              <w:rPr>
                <w:rFonts w:ascii="宋体" w:hAnsi="宋体" w:cs="宋体"/>
                <w:szCs w:val="21"/>
              </w:rPr>
            </w:pPr>
            <w:r w:rsidRPr="00C22863">
              <w:rPr>
                <w:rFonts w:ascii="宋体" w:hAnsi="宋体" w:cs="宋体" w:hint="eastAsia"/>
                <w:szCs w:val="21"/>
              </w:rPr>
              <w:t>传输线变压器及功率合</w:t>
            </w:r>
            <w:r w:rsidRPr="00C22863">
              <w:rPr>
                <w:rFonts w:ascii="宋体" w:hAnsi="宋体" w:cs="宋体" w:hint="eastAsia"/>
                <w:szCs w:val="21"/>
              </w:rPr>
              <w:lastRenderedPageBreak/>
              <w:t>成技术</w:t>
            </w:r>
          </w:p>
        </w:tc>
        <w:tc>
          <w:tcPr>
            <w:tcW w:w="1418" w:type="dxa"/>
            <w:vAlign w:val="center"/>
          </w:tcPr>
          <w:p w14:paraId="2A689FC0"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记录、思考</w:t>
            </w:r>
          </w:p>
        </w:tc>
        <w:tc>
          <w:tcPr>
            <w:tcW w:w="1842" w:type="dxa"/>
            <w:vAlign w:val="center"/>
          </w:tcPr>
          <w:p w14:paraId="0AC55781"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F1407B" w:rsidRDefault="004B4C81">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F1407B" w:rsidRDefault="004B4C81">
            <w:pPr>
              <w:spacing w:line="400" w:lineRule="exact"/>
              <w:jc w:val="center"/>
              <w:rPr>
                <w:rFonts w:ascii="宋体" w:hAnsi="宋体" w:cs="宋体"/>
                <w:szCs w:val="21"/>
              </w:rPr>
            </w:pPr>
            <w:r>
              <w:rPr>
                <w:rFonts w:ascii="宋体" w:hAnsi="宋体" w:cs="宋体" w:hint="eastAsia"/>
                <w:szCs w:val="21"/>
              </w:rPr>
              <w:t>讲授法</w:t>
            </w:r>
          </w:p>
          <w:p w14:paraId="2F64C28B"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F1407B" w:rsidRDefault="004B4C81">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t>小组协作分析问题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t>对学生进行适当引导，学生根据教学情境进行思考。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EB4304" w14:paraId="26C464AE" w14:textId="77777777" w:rsidTr="006C0556">
        <w:tc>
          <w:tcPr>
            <w:tcW w:w="1384" w:type="dxa"/>
            <w:vMerge w:val="restart"/>
            <w:vAlign w:val="center"/>
          </w:tcPr>
          <w:p w14:paraId="0DC503EE" w14:textId="77777777" w:rsidR="00EB4304" w:rsidRDefault="00EB4304" w:rsidP="00EB4304">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center"/>
          </w:tcPr>
          <w:p w14:paraId="27A821AF" w14:textId="51B15F78" w:rsidR="00EB4304" w:rsidRDefault="00322527" w:rsidP="00EB4304">
            <w:pPr>
              <w:spacing w:line="400" w:lineRule="exact"/>
              <w:jc w:val="center"/>
              <w:rPr>
                <w:rFonts w:ascii="宋体" w:hAnsi="宋体" w:cs="宋体"/>
                <w:szCs w:val="21"/>
              </w:rPr>
            </w:pPr>
            <w:r>
              <w:rPr>
                <w:rFonts w:ascii="宋体" w:hAnsi="宋体" w:hint="eastAsia"/>
              </w:rPr>
              <w:t>调整高频</w:t>
            </w:r>
            <w:r w:rsidR="00077E2F">
              <w:rPr>
                <w:rFonts w:ascii="宋体" w:hAnsi="宋体" w:hint="eastAsia"/>
              </w:rPr>
              <w:t>功放电路的状态</w:t>
            </w:r>
          </w:p>
        </w:tc>
        <w:tc>
          <w:tcPr>
            <w:tcW w:w="1418" w:type="dxa"/>
            <w:vAlign w:val="bottom"/>
          </w:tcPr>
          <w:p w14:paraId="7820F4E9" w14:textId="3D172985" w:rsidR="00EB4304" w:rsidRDefault="00077E2F" w:rsidP="00EB4304">
            <w:pPr>
              <w:spacing w:line="400" w:lineRule="exact"/>
              <w:jc w:val="center"/>
              <w:rPr>
                <w:rFonts w:ascii="宋体" w:hAnsi="宋体" w:cs="宋体"/>
                <w:szCs w:val="21"/>
              </w:rPr>
            </w:pPr>
            <w:r>
              <w:rPr>
                <w:rFonts w:ascii="宋体" w:hAnsi="宋体" w:hint="eastAsia"/>
              </w:rPr>
              <w:t>调谐特性</w:t>
            </w:r>
            <w:r w:rsidR="00DA4156">
              <w:rPr>
                <w:rFonts w:ascii="宋体" w:hAnsi="宋体" w:hint="eastAsia"/>
              </w:rPr>
              <w:t>和</w:t>
            </w:r>
            <w:r w:rsidR="00DA4156">
              <w:rPr>
                <w:rFonts w:hint="eastAsia"/>
                <w:szCs w:val="21"/>
              </w:rPr>
              <w:t>负载特性</w:t>
            </w:r>
            <w:r>
              <w:rPr>
                <w:rFonts w:ascii="宋体" w:hAnsi="宋体" w:hint="eastAsia"/>
              </w:rPr>
              <w:t>的测试</w:t>
            </w:r>
            <w:r w:rsidR="00DA4156">
              <w:rPr>
                <w:rFonts w:ascii="宋体" w:hAnsi="宋体" w:hint="eastAsia"/>
              </w:rPr>
              <w:t>，</w:t>
            </w:r>
            <w:r w:rsidR="00DA4156">
              <w:rPr>
                <w:rFonts w:hint="eastAsia"/>
                <w:szCs w:val="21"/>
              </w:rPr>
              <w:t>功率、效率的测量与计算</w:t>
            </w:r>
          </w:p>
        </w:tc>
        <w:tc>
          <w:tcPr>
            <w:tcW w:w="1842" w:type="dxa"/>
            <w:vAlign w:val="center"/>
          </w:tcPr>
          <w:p w14:paraId="64F78BF9"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236093A5" w14:textId="4D021BF6" w:rsidR="00EB4304" w:rsidRDefault="00EB4304" w:rsidP="00EB4304">
            <w:pPr>
              <w:spacing w:line="400" w:lineRule="exact"/>
              <w:jc w:val="center"/>
              <w:rPr>
                <w:rFonts w:ascii="宋体" w:hAnsi="宋体" w:cs="宋体"/>
                <w:szCs w:val="21"/>
              </w:rPr>
            </w:pPr>
          </w:p>
        </w:tc>
        <w:tc>
          <w:tcPr>
            <w:tcW w:w="2268" w:type="dxa"/>
            <w:vAlign w:val="center"/>
          </w:tcPr>
          <w:p w14:paraId="4B0CE44D" w14:textId="51CD06A1"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EB4304" w14:paraId="4308C56A" w14:textId="77777777">
        <w:tc>
          <w:tcPr>
            <w:tcW w:w="1384" w:type="dxa"/>
            <w:vMerge/>
            <w:vAlign w:val="center"/>
          </w:tcPr>
          <w:p w14:paraId="57572147" w14:textId="77777777" w:rsidR="00EB4304" w:rsidRDefault="00EB4304" w:rsidP="00EB4304">
            <w:pPr>
              <w:spacing w:line="400" w:lineRule="exact"/>
              <w:jc w:val="center"/>
              <w:rPr>
                <w:rFonts w:ascii="宋体"/>
                <w:sz w:val="24"/>
                <w:szCs w:val="24"/>
              </w:rPr>
            </w:pPr>
          </w:p>
        </w:tc>
        <w:tc>
          <w:tcPr>
            <w:tcW w:w="1418" w:type="dxa"/>
            <w:vAlign w:val="center"/>
          </w:tcPr>
          <w:p w14:paraId="44A4983B"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6F77F0DB" w14:textId="07C1C6F9" w:rsidR="00EB4304" w:rsidRDefault="00EB4304" w:rsidP="00EB4304">
            <w:pPr>
              <w:spacing w:line="400" w:lineRule="exact"/>
              <w:jc w:val="center"/>
              <w:rPr>
                <w:rFonts w:ascii="宋体" w:hAnsi="宋体" w:cs="宋体"/>
                <w:szCs w:val="21"/>
              </w:rPr>
            </w:pPr>
          </w:p>
        </w:tc>
        <w:tc>
          <w:tcPr>
            <w:tcW w:w="2268" w:type="dxa"/>
            <w:vAlign w:val="center"/>
          </w:tcPr>
          <w:p w14:paraId="675FE9C8" w14:textId="071A2409"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r>
        <w:rPr>
          <w:rFonts w:ascii="宋体"/>
          <w:szCs w:val="21"/>
        </w:rPr>
        <w:t>思政元素可以是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p w14:paraId="55FC8B38" w14:textId="69694EAD" w:rsidR="003E3DFB" w:rsidRPr="00EB59A7" w:rsidRDefault="00EB59A7" w:rsidP="00B12514">
      <w:pPr>
        <w:spacing w:line="400" w:lineRule="exact"/>
        <w:rPr>
          <w:rFonts w:ascii="宋体" w:hAnsi="宋体"/>
          <w:b/>
          <w:sz w:val="24"/>
          <w:szCs w:val="24"/>
        </w:rPr>
      </w:pPr>
      <w:r w:rsidRPr="00EB59A7">
        <w:rPr>
          <w:rFonts w:ascii="宋体" w:hAnsi="宋体" w:hint="eastAsia"/>
          <w:b/>
          <w:sz w:val="24"/>
          <w:szCs w:val="24"/>
          <w:lang w:val="zh-CN"/>
        </w:rPr>
        <w:t>高频功率放大与发射器的检测实验</w:t>
      </w:r>
    </w:p>
    <w:tbl>
      <w:tblPr>
        <w:tblW w:w="9098" w:type="dxa"/>
        <w:tblInd w:w="-15" w:type="dxa"/>
        <w:tblLayout w:type="fixed"/>
        <w:tblLook w:val="0000" w:firstRow="0" w:lastRow="0" w:firstColumn="0" w:lastColumn="0" w:noHBand="0" w:noVBand="0"/>
      </w:tblPr>
      <w:tblGrid>
        <w:gridCol w:w="4179"/>
        <w:gridCol w:w="744"/>
        <w:gridCol w:w="2688"/>
        <w:gridCol w:w="1487"/>
      </w:tblGrid>
      <w:tr w:rsidR="006356D2" w14:paraId="2CBAAA5F" w14:textId="77777777" w:rsidTr="006356D2">
        <w:trPr>
          <w:trHeight w:val="315"/>
        </w:trPr>
        <w:tc>
          <w:tcPr>
            <w:tcW w:w="4179" w:type="dxa"/>
            <w:tcBorders>
              <w:top w:val="single" w:sz="4" w:space="0" w:color="auto"/>
              <w:left w:val="nil"/>
              <w:bottom w:val="single" w:sz="6" w:space="0" w:color="auto"/>
              <w:right w:val="single" w:sz="6" w:space="0" w:color="auto"/>
            </w:tcBorders>
            <w:vAlign w:val="bottom"/>
          </w:tcPr>
          <w:p w14:paraId="27E6C675" w14:textId="77777777" w:rsidR="006356D2" w:rsidRDefault="006356D2" w:rsidP="006A61DC">
            <w:pPr>
              <w:jc w:val="center"/>
              <w:rPr>
                <w:rFonts w:ascii="宋体" w:hAnsi="宋体" w:cs="宋体"/>
                <w:b/>
                <w:szCs w:val="21"/>
              </w:rPr>
            </w:pPr>
            <w:r>
              <w:rPr>
                <w:rFonts w:ascii="宋体" w:hAnsi="宋体" w:cs="宋体" w:hint="eastAsia"/>
                <w:b/>
                <w:szCs w:val="21"/>
              </w:rPr>
              <w:t>评分点</w:t>
            </w:r>
          </w:p>
        </w:tc>
        <w:tc>
          <w:tcPr>
            <w:tcW w:w="744" w:type="dxa"/>
            <w:tcBorders>
              <w:top w:val="single" w:sz="4" w:space="0" w:color="auto"/>
              <w:left w:val="single" w:sz="6" w:space="0" w:color="auto"/>
              <w:bottom w:val="single" w:sz="6" w:space="0" w:color="auto"/>
              <w:right w:val="single" w:sz="6" w:space="0" w:color="auto"/>
            </w:tcBorders>
            <w:vAlign w:val="bottom"/>
          </w:tcPr>
          <w:p w14:paraId="5B582BC7" w14:textId="77777777" w:rsidR="006356D2" w:rsidRDefault="006356D2" w:rsidP="006A61DC">
            <w:pPr>
              <w:jc w:val="center"/>
              <w:rPr>
                <w:rFonts w:ascii="宋体" w:hAnsi="宋体" w:cs="宋体"/>
                <w:b/>
                <w:szCs w:val="21"/>
              </w:rPr>
            </w:pPr>
            <w:r>
              <w:rPr>
                <w:rFonts w:ascii="宋体" w:hAnsi="宋体" w:cs="宋体" w:hint="eastAsia"/>
                <w:b/>
                <w:szCs w:val="21"/>
              </w:rPr>
              <w:t>分值</w:t>
            </w:r>
          </w:p>
        </w:tc>
        <w:tc>
          <w:tcPr>
            <w:tcW w:w="2688" w:type="dxa"/>
            <w:tcBorders>
              <w:top w:val="single" w:sz="4" w:space="0" w:color="auto"/>
              <w:left w:val="single" w:sz="6" w:space="0" w:color="auto"/>
              <w:bottom w:val="single" w:sz="6" w:space="0" w:color="auto"/>
              <w:right w:val="single" w:sz="6" w:space="0" w:color="auto"/>
            </w:tcBorders>
            <w:vAlign w:val="bottom"/>
          </w:tcPr>
          <w:p w14:paraId="609450C0" w14:textId="77777777" w:rsidR="006356D2" w:rsidRDefault="006356D2" w:rsidP="006A61DC">
            <w:pPr>
              <w:jc w:val="center"/>
              <w:rPr>
                <w:rFonts w:ascii="宋体" w:hAnsi="宋体" w:cs="宋体"/>
                <w:b/>
                <w:szCs w:val="21"/>
              </w:rPr>
            </w:pPr>
            <w:r>
              <w:rPr>
                <w:rFonts w:ascii="宋体" w:hAnsi="宋体" w:cs="宋体" w:hint="eastAsia"/>
                <w:b/>
                <w:szCs w:val="21"/>
              </w:rPr>
              <w:t>评分条件</w:t>
            </w:r>
          </w:p>
        </w:tc>
        <w:tc>
          <w:tcPr>
            <w:tcW w:w="1487" w:type="dxa"/>
            <w:tcBorders>
              <w:top w:val="single" w:sz="4" w:space="0" w:color="auto"/>
              <w:left w:val="single" w:sz="6" w:space="0" w:color="auto"/>
              <w:bottom w:val="single" w:sz="6" w:space="0" w:color="auto"/>
            </w:tcBorders>
            <w:vAlign w:val="bottom"/>
          </w:tcPr>
          <w:p w14:paraId="34EABF53" w14:textId="77777777" w:rsidR="006356D2" w:rsidRDefault="006356D2" w:rsidP="006A61DC">
            <w:pPr>
              <w:jc w:val="center"/>
              <w:rPr>
                <w:rFonts w:ascii="宋体" w:hAnsi="宋体" w:cs="宋体"/>
                <w:b/>
                <w:szCs w:val="21"/>
              </w:rPr>
            </w:pPr>
            <w:r>
              <w:rPr>
                <w:rFonts w:ascii="宋体" w:hAnsi="宋体" w:cs="宋体" w:hint="eastAsia"/>
                <w:b/>
                <w:szCs w:val="21"/>
              </w:rPr>
              <w:t>评分标准</w:t>
            </w:r>
          </w:p>
        </w:tc>
      </w:tr>
      <w:tr w:rsidR="006356D2" w14:paraId="09E17E6E" w14:textId="77777777" w:rsidTr="006356D2">
        <w:trPr>
          <w:trHeight w:val="545"/>
        </w:trPr>
        <w:tc>
          <w:tcPr>
            <w:tcW w:w="4179" w:type="dxa"/>
            <w:tcBorders>
              <w:top w:val="single" w:sz="6" w:space="0" w:color="auto"/>
              <w:bottom w:val="single" w:sz="6" w:space="0" w:color="auto"/>
              <w:right w:val="single" w:sz="6" w:space="0" w:color="auto"/>
            </w:tcBorders>
            <w:vAlign w:val="bottom"/>
          </w:tcPr>
          <w:p w14:paraId="1026C27A" w14:textId="77777777" w:rsidR="006356D2" w:rsidRPr="00C420BC" w:rsidRDefault="006356D2" w:rsidP="006A61DC">
            <w:pPr>
              <w:pStyle w:val="aa"/>
              <w:ind w:firstLine="0"/>
              <w:rPr>
                <w:sz w:val="21"/>
                <w:szCs w:val="21"/>
              </w:rPr>
            </w:pPr>
            <w:r>
              <w:rPr>
                <w:rFonts w:hint="eastAsia"/>
                <w:sz w:val="21"/>
                <w:szCs w:val="21"/>
              </w:rPr>
              <w:t>调整高频功率放大电路三级放大器的工作状态</w:t>
            </w:r>
          </w:p>
        </w:tc>
        <w:tc>
          <w:tcPr>
            <w:tcW w:w="744" w:type="dxa"/>
            <w:tcBorders>
              <w:top w:val="single" w:sz="6" w:space="0" w:color="auto"/>
              <w:left w:val="single" w:sz="6" w:space="0" w:color="auto"/>
              <w:bottom w:val="single" w:sz="6" w:space="0" w:color="auto"/>
              <w:right w:val="single" w:sz="6" w:space="0" w:color="auto"/>
            </w:tcBorders>
            <w:vAlign w:val="bottom"/>
          </w:tcPr>
          <w:p w14:paraId="39FF6C22" w14:textId="77777777" w:rsidR="006356D2" w:rsidRDefault="006356D2" w:rsidP="006A61DC">
            <w:pPr>
              <w:rPr>
                <w:rFonts w:ascii="宋体" w:hAnsi="宋体"/>
                <w:sz w:val="18"/>
                <w:szCs w:val="18"/>
              </w:rPr>
            </w:pPr>
            <w:r>
              <w:rPr>
                <w:rFonts w:ascii="宋体" w:hAnsi="宋体"/>
                <w:sz w:val="18"/>
                <w:szCs w:val="18"/>
              </w:rPr>
              <w:t>20</w:t>
            </w:r>
          </w:p>
        </w:tc>
        <w:tc>
          <w:tcPr>
            <w:tcW w:w="2688" w:type="dxa"/>
            <w:tcBorders>
              <w:top w:val="single" w:sz="6" w:space="0" w:color="auto"/>
              <w:left w:val="single" w:sz="6" w:space="0" w:color="auto"/>
              <w:bottom w:val="single" w:sz="6" w:space="0" w:color="auto"/>
              <w:right w:val="single" w:sz="6" w:space="0" w:color="auto"/>
            </w:tcBorders>
            <w:vAlign w:val="bottom"/>
          </w:tcPr>
          <w:p w14:paraId="16E41578" w14:textId="77777777" w:rsidR="006356D2" w:rsidRDefault="006356D2" w:rsidP="006A61DC">
            <w:pPr>
              <w:rPr>
                <w:rFonts w:ascii="宋体" w:hAnsi="宋体"/>
                <w:sz w:val="18"/>
                <w:szCs w:val="18"/>
              </w:rPr>
            </w:pPr>
            <w:r>
              <w:rPr>
                <w:rFonts w:hint="eastAsia"/>
                <w:szCs w:val="21"/>
              </w:rPr>
              <w:t>使甲放与丙放的输出最大，失真最小</w:t>
            </w:r>
          </w:p>
        </w:tc>
        <w:tc>
          <w:tcPr>
            <w:tcW w:w="1487" w:type="dxa"/>
            <w:tcBorders>
              <w:top w:val="single" w:sz="6" w:space="0" w:color="auto"/>
              <w:left w:val="single" w:sz="6" w:space="0" w:color="auto"/>
              <w:bottom w:val="single" w:sz="6" w:space="0" w:color="auto"/>
            </w:tcBorders>
            <w:vAlign w:val="bottom"/>
          </w:tcPr>
          <w:p w14:paraId="47184A26" w14:textId="77777777" w:rsidR="006356D2" w:rsidRDefault="006356D2" w:rsidP="006A61DC">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扣4分</w:t>
            </w:r>
          </w:p>
        </w:tc>
      </w:tr>
      <w:tr w:rsidR="006356D2" w14:paraId="54342DCD" w14:textId="77777777" w:rsidTr="006356D2">
        <w:trPr>
          <w:trHeight w:val="908"/>
        </w:trPr>
        <w:tc>
          <w:tcPr>
            <w:tcW w:w="4179" w:type="dxa"/>
            <w:tcBorders>
              <w:top w:val="single" w:sz="6" w:space="0" w:color="auto"/>
              <w:bottom w:val="single" w:sz="6" w:space="0" w:color="auto"/>
              <w:right w:val="single" w:sz="6" w:space="0" w:color="auto"/>
            </w:tcBorders>
            <w:vAlign w:val="bottom"/>
          </w:tcPr>
          <w:p w14:paraId="2ABC07A5" w14:textId="77777777" w:rsidR="006356D2" w:rsidRDefault="006356D2" w:rsidP="006A61DC">
            <w:pPr>
              <w:rPr>
                <w:rFonts w:ascii="宋体" w:hAnsi="宋体"/>
                <w:sz w:val="18"/>
                <w:szCs w:val="18"/>
              </w:rPr>
            </w:pPr>
            <w:r>
              <w:rPr>
                <w:rFonts w:hint="eastAsia"/>
                <w:szCs w:val="21"/>
              </w:rPr>
              <w:t>甲类、丙类功放直流工作点的比较</w:t>
            </w:r>
          </w:p>
        </w:tc>
        <w:tc>
          <w:tcPr>
            <w:tcW w:w="744" w:type="dxa"/>
            <w:tcBorders>
              <w:top w:val="single" w:sz="6" w:space="0" w:color="auto"/>
              <w:left w:val="single" w:sz="6" w:space="0" w:color="auto"/>
              <w:bottom w:val="single" w:sz="6" w:space="0" w:color="auto"/>
              <w:right w:val="single" w:sz="6" w:space="0" w:color="auto"/>
            </w:tcBorders>
            <w:vAlign w:val="bottom"/>
          </w:tcPr>
          <w:p w14:paraId="0A7E1BF0" w14:textId="77777777" w:rsidR="006356D2" w:rsidRDefault="006356D2" w:rsidP="006A61DC">
            <w:pPr>
              <w:rPr>
                <w:rFonts w:ascii="宋体" w:hAnsi="宋体"/>
                <w:sz w:val="18"/>
                <w:szCs w:val="18"/>
              </w:rPr>
            </w:pPr>
            <w:r>
              <w:rPr>
                <w:rFonts w:ascii="宋体" w:hAnsi="宋体"/>
                <w:sz w:val="18"/>
                <w:szCs w:val="18"/>
              </w:rPr>
              <w:t>20</w:t>
            </w:r>
          </w:p>
        </w:tc>
        <w:tc>
          <w:tcPr>
            <w:tcW w:w="2688" w:type="dxa"/>
            <w:tcBorders>
              <w:top w:val="single" w:sz="6" w:space="0" w:color="auto"/>
              <w:left w:val="single" w:sz="6" w:space="0" w:color="auto"/>
              <w:bottom w:val="single" w:sz="6" w:space="0" w:color="auto"/>
              <w:right w:val="single" w:sz="6" w:space="0" w:color="auto"/>
            </w:tcBorders>
            <w:vAlign w:val="bottom"/>
          </w:tcPr>
          <w:p w14:paraId="2302753F" w14:textId="77777777" w:rsidR="006356D2" w:rsidRDefault="006356D2" w:rsidP="006A61DC">
            <w:pPr>
              <w:rPr>
                <w:rFonts w:ascii="宋体" w:hAnsi="宋体"/>
                <w:sz w:val="18"/>
                <w:szCs w:val="18"/>
              </w:rPr>
            </w:pPr>
            <w:r>
              <w:rPr>
                <w:rFonts w:hint="eastAsia"/>
                <w:szCs w:val="21"/>
              </w:rPr>
              <w:t>测量</w:t>
            </w:r>
            <w:r>
              <w:rPr>
                <w:rFonts w:hint="eastAsia"/>
                <w:szCs w:val="21"/>
              </w:rPr>
              <w:t>BG</w:t>
            </w:r>
            <w:r>
              <w:rPr>
                <w:rFonts w:hint="eastAsia"/>
                <w:szCs w:val="21"/>
                <w:vertAlign w:val="subscript"/>
              </w:rPr>
              <w:t>503</w:t>
            </w:r>
            <w:r>
              <w:rPr>
                <w:rFonts w:hint="eastAsia"/>
                <w:szCs w:val="21"/>
              </w:rPr>
              <w:t>和</w:t>
            </w:r>
            <w:r>
              <w:rPr>
                <w:rFonts w:hint="eastAsia"/>
                <w:szCs w:val="21"/>
              </w:rPr>
              <w:t>BG</w:t>
            </w:r>
            <w:r>
              <w:rPr>
                <w:rFonts w:hint="eastAsia"/>
                <w:szCs w:val="21"/>
                <w:vertAlign w:val="subscript"/>
              </w:rPr>
              <w:t>504</w:t>
            </w:r>
            <w:r>
              <w:rPr>
                <w:rFonts w:hint="eastAsia"/>
                <w:szCs w:val="21"/>
              </w:rPr>
              <w:t>的基极电压，进行比较</w:t>
            </w:r>
          </w:p>
        </w:tc>
        <w:tc>
          <w:tcPr>
            <w:tcW w:w="1487" w:type="dxa"/>
            <w:tcBorders>
              <w:top w:val="single" w:sz="6" w:space="0" w:color="auto"/>
              <w:left w:val="single" w:sz="6" w:space="0" w:color="auto"/>
              <w:bottom w:val="single" w:sz="6" w:space="0" w:color="auto"/>
            </w:tcBorders>
            <w:vAlign w:val="bottom"/>
          </w:tcPr>
          <w:p w14:paraId="3058A810" w14:textId="77777777" w:rsidR="006356D2" w:rsidRDefault="006356D2" w:rsidP="006A61DC">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错一题扣4分</w:t>
            </w:r>
          </w:p>
        </w:tc>
      </w:tr>
      <w:tr w:rsidR="006356D2" w14:paraId="3F12C3E3" w14:textId="77777777" w:rsidTr="006356D2">
        <w:trPr>
          <w:trHeight w:val="950"/>
        </w:trPr>
        <w:tc>
          <w:tcPr>
            <w:tcW w:w="4179" w:type="dxa"/>
            <w:tcBorders>
              <w:top w:val="single" w:sz="6" w:space="0" w:color="auto"/>
              <w:bottom w:val="single" w:sz="6" w:space="0" w:color="auto"/>
              <w:right w:val="single" w:sz="6" w:space="0" w:color="auto"/>
            </w:tcBorders>
            <w:vAlign w:val="bottom"/>
          </w:tcPr>
          <w:p w14:paraId="70CDEFF4" w14:textId="77777777" w:rsidR="006356D2" w:rsidRPr="00C420BC" w:rsidRDefault="006356D2" w:rsidP="006A61DC">
            <w:pPr>
              <w:pStyle w:val="aa"/>
              <w:tabs>
                <w:tab w:val="left" w:pos="525"/>
              </w:tabs>
              <w:ind w:firstLine="0"/>
              <w:rPr>
                <w:sz w:val="21"/>
                <w:szCs w:val="21"/>
              </w:rPr>
            </w:pPr>
            <w:r>
              <w:rPr>
                <w:rFonts w:hint="eastAsia"/>
                <w:sz w:val="21"/>
                <w:szCs w:val="21"/>
              </w:rPr>
              <w:t>调谐特性的测试</w:t>
            </w:r>
          </w:p>
        </w:tc>
        <w:tc>
          <w:tcPr>
            <w:tcW w:w="744" w:type="dxa"/>
            <w:tcBorders>
              <w:top w:val="single" w:sz="6" w:space="0" w:color="auto"/>
              <w:left w:val="single" w:sz="6" w:space="0" w:color="auto"/>
              <w:bottom w:val="single" w:sz="6" w:space="0" w:color="auto"/>
              <w:right w:val="single" w:sz="6" w:space="0" w:color="auto"/>
            </w:tcBorders>
            <w:vAlign w:val="bottom"/>
          </w:tcPr>
          <w:p w14:paraId="277B65B8" w14:textId="77777777" w:rsidR="006356D2" w:rsidRDefault="006356D2" w:rsidP="006A61DC">
            <w:pPr>
              <w:rPr>
                <w:rFonts w:ascii="宋体" w:hAnsi="宋体"/>
                <w:sz w:val="18"/>
                <w:szCs w:val="18"/>
              </w:rPr>
            </w:pPr>
            <w:r>
              <w:rPr>
                <w:rFonts w:ascii="宋体" w:hAnsi="宋体"/>
                <w:sz w:val="18"/>
                <w:szCs w:val="18"/>
              </w:rPr>
              <w:t>20</w:t>
            </w:r>
          </w:p>
        </w:tc>
        <w:tc>
          <w:tcPr>
            <w:tcW w:w="2688" w:type="dxa"/>
            <w:tcBorders>
              <w:top w:val="single" w:sz="6" w:space="0" w:color="auto"/>
              <w:left w:val="single" w:sz="6" w:space="0" w:color="auto"/>
              <w:bottom w:val="single" w:sz="6" w:space="0" w:color="auto"/>
              <w:right w:val="single" w:sz="6" w:space="0" w:color="auto"/>
            </w:tcBorders>
            <w:vAlign w:val="bottom"/>
          </w:tcPr>
          <w:p w14:paraId="43FA03E8" w14:textId="77777777" w:rsidR="006356D2" w:rsidRDefault="006356D2" w:rsidP="006A61DC">
            <w:pPr>
              <w:rPr>
                <w:rFonts w:ascii="宋体" w:hAnsi="宋体"/>
                <w:sz w:val="18"/>
                <w:szCs w:val="18"/>
              </w:rPr>
            </w:pPr>
            <w:r>
              <w:rPr>
                <w:rFonts w:hint="eastAsia"/>
                <w:szCs w:val="21"/>
              </w:rPr>
              <w:t>用示波器测量</w:t>
            </w:r>
            <w:r>
              <w:rPr>
                <w:rFonts w:hint="eastAsia"/>
                <w:szCs w:val="21"/>
              </w:rPr>
              <w:t>TP</w:t>
            </w:r>
            <w:r>
              <w:rPr>
                <w:rFonts w:hint="eastAsia"/>
                <w:szCs w:val="21"/>
                <w:vertAlign w:val="subscript"/>
              </w:rPr>
              <w:t>504</w:t>
            </w:r>
            <w:r>
              <w:rPr>
                <w:rFonts w:hint="eastAsia"/>
                <w:szCs w:val="21"/>
              </w:rPr>
              <w:t>的电压值（</w:t>
            </w:r>
            <w:r>
              <w:rPr>
                <w:rFonts w:hint="eastAsia"/>
                <w:szCs w:val="21"/>
              </w:rPr>
              <w:t>SW</w:t>
            </w:r>
            <w:r>
              <w:rPr>
                <w:rFonts w:hint="eastAsia"/>
                <w:szCs w:val="21"/>
                <w:vertAlign w:val="subscript"/>
              </w:rPr>
              <w:t>501</w:t>
            </w:r>
            <w:r>
              <w:rPr>
                <w:rFonts w:hint="eastAsia"/>
                <w:szCs w:val="21"/>
              </w:rPr>
              <w:t>全部开路）</w:t>
            </w:r>
          </w:p>
        </w:tc>
        <w:tc>
          <w:tcPr>
            <w:tcW w:w="1487" w:type="dxa"/>
            <w:tcBorders>
              <w:top w:val="single" w:sz="6" w:space="0" w:color="auto"/>
              <w:left w:val="single" w:sz="6" w:space="0" w:color="auto"/>
              <w:bottom w:val="single" w:sz="6" w:space="0" w:color="auto"/>
            </w:tcBorders>
            <w:vAlign w:val="bottom"/>
          </w:tcPr>
          <w:p w14:paraId="6974C0BB" w14:textId="77777777" w:rsidR="006356D2" w:rsidRDefault="006356D2" w:rsidP="006A61DC">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错一题扣4分</w:t>
            </w:r>
          </w:p>
        </w:tc>
      </w:tr>
      <w:tr w:rsidR="006356D2" w14:paraId="1E0D4037" w14:textId="77777777" w:rsidTr="006356D2">
        <w:trPr>
          <w:trHeight w:val="571"/>
        </w:trPr>
        <w:tc>
          <w:tcPr>
            <w:tcW w:w="4179" w:type="dxa"/>
            <w:tcBorders>
              <w:top w:val="single" w:sz="6" w:space="0" w:color="auto"/>
              <w:bottom w:val="single" w:sz="6" w:space="0" w:color="auto"/>
              <w:right w:val="single" w:sz="6" w:space="0" w:color="auto"/>
            </w:tcBorders>
            <w:vAlign w:val="bottom"/>
          </w:tcPr>
          <w:p w14:paraId="4DF1C244" w14:textId="77777777" w:rsidR="006356D2" w:rsidRDefault="006356D2" w:rsidP="006A61DC">
            <w:pPr>
              <w:rPr>
                <w:rFonts w:ascii="宋体" w:hAnsi="宋体"/>
                <w:sz w:val="18"/>
                <w:szCs w:val="18"/>
              </w:rPr>
            </w:pPr>
            <w:r>
              <w:rPr>
                <w:rFonts w:hint="eastAsia"/>
                <w:szCs w:val="21"/>
              </w:rPr>
              <w:t>负载特性的测试</w:t>
            </w:r>
          </w:p>
        </w:tc>
        <w:tc>
          <w:tcPr>
            <w:tcW w:w="744" w:type="dxa"/>
            <w:tcBorders>
              <w:top w:val="single" w:sz="6" w:space="0" w:color="auto"/>
              <w:left w:val="single" w:sz="6" w:space="0" w:color="auto"/>
              <w:bottom w:val="single" w:sz="6" w:space="0" w:color="auto"/>
              <w:right w:val="single" w:sz="6" w:space="0" w:color="auto"/>
            </w:tcBorders>
            <w:vAlign w:val="bottom"/>
          </w:tcPr>
          <w:p w14:paraId="4EB68CA2" w14:textId="77777777" w:rsidR="006356D2" w:rsidRDefault="006356D2" w:rsidP="006A61DC">
            <w:pPr>
              <w:rPr>
                <w:rFonts w:ascii="宋体" w:hAnsi="宋体"/>
                <w:sz w:val="18"/>
                <w:szCs w:val="18"/>
              </w:rPr>
            </w:pPr>
            <w:r>
              <w:rPr>
                <w:rFonts w:ascii="宋体" w:hAnsi="宋体"/>
                <w:sz w:val="18"/>
                <w:szCs w:val="18"/>
              </w:rPr>
              <w:t>20</w:t>
            </w:r>
          </w:p>
        </w:tc>
        <w:tc>
          <w:tcPr>
            <w:tcW w:w="2688" w:type="dxa"/>
            <w:tcBorders>
              <w:top w:val="single" w:sz="6" w:space="0" w:color="auto"/>
              <w:left w:val="single" w:sz="6" w:space="0" w:color="auto"/>
              <w:bottom w:val="single" w:sz="6" w:space="0" w:color="auto"/>
              <w:right w:val="single" w:sz="6" w:space="0" w:color="auto"/>
            </w:tcBorders>
            <w:vAlign w:val="bottom"/>
          </w:tcPr>
          <w:p w14:paraId="4C3E0C33" w14:textId="77777777" w:rsidR="006356D2" w:rsidRDefault="006356D2" w:rsidP="006A61DC">
            <w:pPr>
              <w:rPr>
                <w:rFonts w:ascii="宋体" w:hAnsi="宋体"/>
                <w:sz w:val="18"/>
                <w:szCs w:val="18"/>
              </w:rPr>
            </w:pPr>
            <w:r>
              <w:rPr>
                <w:rFonts w:hint="eastAsia"/>
                <w:szCs w:val="21"/>
              </w:rPr>
              <w:t>用示波器测量</w:t>
            </w:r>
            <w:r>
              <w:rPr>
                <w:rFonts w:hint="eastAsia"/>
                <w:szCs w:val="21"/>
              </w:rPr>
              <w:t>TP</w:t>
            </w:r>
            <w:r>
              <w:rPr>
                <w:rFonts w:hint="eastAsia"/>
                <w:szCs w:val="21"/>
                <w:vertAlign w:val="subscript"/>
              </w:rPr>
              <w:t>504</w:t>
            </w:r>
            <w:r>
              <w:rPr>
                <w:rFonts w:hint="eastAsia"/>
                <w:szCs w:val="21"/>
              </w:rPr>
              <w:t>的电压值</w:t>
            </w:r>
            <w:r>
              <w:rPr>
                <w:rFonts w:hint="eastAsia"/>
                <w:szCs w:val="21"/>
              </w:rPr>
              <w:t>U</w:t>
            </w:r>
            <w:r>
              <w:rPr>
                <w:szCs w:val="21"/>
              </w:rPr>
              <w:t>c</w:t>
            </w:r>
            <w:r>
              <w:rPr>
                <w:rFonts w:hint="eastAsia"/>
                <w:szCs w:val="21"/>
              </w:rPr>
              <w:t>和发射极的电压值</w:t>
            </w:r>
            <w:r>
              <w:rPr>
                <w:rFonts w:hint="eastAsia"/>
                <w:szCs w:val="21"/>
              </w:rPr>
              <w:t>U</w:t>
            </w:r>
            <w:r>
              <w:rPr>
                <w:szCs w:val="21"/>
              </w:rPr>
              <w:t>e</w:t>
            </w:r>
          </w:p>
        </w:tc>
        <w:tc>
          <w:tcPr>
            <w:tcW w:w="1487" w:type="dxa"/>
            <w:tcBorders>
              <w:top w:val="single" w:sz="6" w:space="0" w:color="auto"/>
              <w:left w:val="single" w:sz="6" w:space="0" w:color="auto"/>
              <w:bottom w:val="single" w:sz="6" w:space="0" w:color="auto"/>
            </w:tcBorders>
            <w:vAlign w:val="bottom"/>
          </w:tcPr>
          <w:p w14:paraId="0366E935" w14:textId="77777777" w:rsidR="006356D2" w:rsidRDefault="006356D2" w:rsidP="006A61DC">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错一题扣2分</w:t>
            </w:r>
          </w:p>
        </w:tc>
      </w:tr>
      <w:tr w:rsidR="006356D2" w14:paraId="7BBA2DC9" w14:textId="77777777" w:rsidTr="006356D2">
        <w:trPr>
          <w:trHeight w:val="416"/>
        </w:trPr>
        <w:tc>
          <w:tcPr>
            <w:tcW w:w="4179" w:type="dxa"/>
            <w:tcBorders>
              <w:top w:val="single" w:sz="6" w:space="0" w:color="auto"/>
              <w:bottom w:val="single" w:sz="4" w:space="0" w:color="auto"/>
              <w:right w:val="single" w:sz="6" w:space="0" w:color="auto"/>
            </w:tcBorders>
            <w:vAlign w:val="bottom"/>
          </w:tcPr>
          <w:p w14:paraId="7D654D07" w14:textId="64C13B9A" w:rsidR="006356D2" w:rsidRPr="00C420BC" w:rsidRDefault="006356D2" w:rsidP="006A61DC">
            <w:pPr>
              <w:pStyle w:val="ab"/>
              <w:tabs>
                <w:tab w:val="left" w:pos="420"/>
              </w:tabs>
              <w:rPr>
                <w:szCs w:val="21"/>
              </w:rPr>
            </w:pPr>
            <w:r>
              <w:rPr>
                <w:noProof/>
                <w:szCs w:val="21"/>
              </w:rPr>
              <mc:AlternateContent>
                <mc:Choice Requires="wps">
                  <w:drawing>
                    <wp:anchor distT="0" distB="0" distL="114300" distR="114300" simplePos="0" relativeHeight="251659264" behindDoc="0" locked="0" layoutInCell="1" allowOverlap="1" wp14:anchorId="0F9A276A" wp14:editId="04CA6CEC">
                      <wp:simplePos x="0" y="0"/>
                      <wp:positionH relativeFrom="column">
                        <wp:posOffset>66675</wp:posOffset>
                      </wp:positionH>
                      <wp:positionV relativeFrom="paragraph">
                        <wp:posOffset>272415</wp:posOffset>
                      </wp:positionV>
                      <wp:extent cx="0" cy="0"/>
                      <wp:effectExtent l="10160" t="5715" r="8890" b="13335"/>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A4AD64" id="直接连接符 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21.45pt" to="5.2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"/>
                  </w:pict>
                </mc:Fallback>
              </mc:AlternateContent>
            </w:r>
            <w:r>
              <w:rPr>
                <w:rFonts w:hint="eastAsia"/>
                <w:szCs w:val="21"/>
              </w:rPr>
              <w:t>功率、效率的测量与计算</w:t>
            </w:r>
          </w:p>
        </w:tc>
        <w:tc>
          <w:tcPr>
            <w:tcW w:w="744" w:type="dxa"/>
            <w:tcBorders>
              <w:top w:val="single" w:sz="6" w:space="0" w:color="auto"/>
              <w:left w:val="single" w:sz="6" w:space="0" w:color="auto"/>
              <w:bottom w:val="single" w:sz="4" w:space="0" w:color="auto"/>
              <w:right w:val="single" w:sz="6" w:space="0" w:color="auto"/>
            </w:tcBorders>
            <w:vAlign w:val="bottom"/>
          </w:tcPr>
          <w:p w14:paraId="3248F796" w14:textId="77777777" w:rsidR="006356D2" w:rsidRDefault="006356D2" w:rsidP="006A61DC">
            <w:pPr>
              <w:rPr>
                <w:rFonts w:ascii="宋体" w:hAnsi="宋体"/>
                <w:sz w:val="18"/>
                <w:szCs w:val="18"/>
              </w:rPr>
            </w:pPr>
            <w:r>
              <w:rPr>
                <w:rFonts w:ascii="宋体" w:hAnsi="宋体"/>
                <w:sz w:val="18"/>
                <w:szCs w:val="18"/>
              </w:rPr>
              <w:t>20</w:t>
            </w:r>
          </w:p>
        </w:tc>
        <w:tc>
          <w:tcPr>
            <w:tcW w:w="2688" w:type="dxa"/>
            <w:tcBorders>
              <w:top w:val="single" w:sz="6" w:space="0" w:color="auto"/>
              <w:left w:val="single" w:sz="6" w:space="0" w:color="auto"/>
              <w:bottom w:val="single" w:sz="4" w:space="0" w:color="auto"/>
              <w:right w:val="single" w:sz="6" w:space="0" w:color="auto"/>
            </w:tcBorders>
            <w:vAlign w:val="bottom"/>
          </w:tcPr>
          <w:p w14:paraId="344EFAA7" w14:textId="77777777" w:rsidR="006356D2" w:rsidRDefault="006356D2" w:rsidP="006A61DC">
            <w:pPr>
              <w:rPr>
                <w:rFonts w:ascii="宋体" w:hAnsi="宋体"/>
                <w:sz w:val="18"/>
                <w:szCs w:val="18"/>
              </w:rPr>
            </w:pPr>
            <w:r>
              <w:rPr>
                <w:rFonts w:hint="eastAsia"/>
                <w:szCs w:val="21"/>
              </w:rPr>
              <w:t>功率、效率的测量</w:t>
            </w:r>
          </w:p>
        </w:tc>
        <w:tc>
          <w:tcPr>
            <w:tcW w:w="1487" w:type="dxa"/>
            <w:tcBorders>
              <w:top w:val="single" w:sz="6" w:space="0" w:color="auto"/>
              <w:left w:val="single" w:sz="6" w:space="0" w:color="auto"/>
              <w:bottom w:val="single" w:sz="4" w:space="0" w:color="auto"/>
            </w:tcBorders>
            <w:vAlign w:val="bottom"/>
          </w:tcPr>
          <w:p w14:paraId="54F2A53E" w14:textId="77777777" w:rsidR="006356D2" w:rsidRDefault="006356D2" w:rsidP="006A61DC">
            <w:pPr>
              <w:rPr>
                <w:rFonts w:ascii="宋体" w:hAnsi="宋体"/>
                <w:sz w:val="18"/>
                <w:szCs w:val="18"/>
              </w:rPr>
            </w:pPr>
            <w:r>
              <w:rPr>
                <w:rFonts w:ascii="宋体" w:hAnsi="宋体"/>
                <w:sz w:val="18"/>
                <w:szCs w:val="18"/>
              </w:rPr>
              <w:t>答</w:t>
            </w:r>
            <w:r>
              <w:rPr>
                <w:rFonts w:ascii="宋体" w:hAnsi="宋体" w:hint="eastAsia"/>
                <w:sz w:val="18"/>
                <w:szCs w:val="18"/>
              </w:rPr>
              <w:t>案</w:t>
            </w:r>
            <w:r>
              <w:rPr>
                <w:rFonts w:ascii="宋体" w:hAnsi="宋体"/>
                <w:sz w:val="18"/>
                <w:szCs w:val="18"/>
              </w:rPr>
              <w:t>错一题扣2分</w:t>
            </w:r>
          </w:p>
        </w:tc>
      </w:tr>
    </w:tbl>
    <w:p w14:paraId="241F6196" w14:textId="77777777" w:rsidR="003E3DFB" w:rsidRDefault="003E3DFB">
      <w:pPr>
        <w:spacing w:line="400" w:lineRule="exact"/>
        <w:jc w:val="center"/>
        <w:rPr>
          <w:rFonts w:ascii="宋体"/>
          <w:b/>
          <w:sz w:val="24"/>
          <w:szCs w:val="24"/>
        </w:rPr>
      </w:pPr>
    </w:p>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1.思政教育效果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lastRenderedPageBreak/>
        <w:t>本节课教学设计基于任务驱动教学法、探究式教学，以学生自主学习、自主探索为主线，通过运用多种信息化手段，围绕着数组的理解、数组的特点、数组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电子工程学院应用电子专业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26BDB" w14:textId="77777777" w:rsidR="00210624" w:rsidRDefault="00210624" w:rsidP="008E3F17">
      <w:r>
        <w:separator/>
      </w:r>
    </w:p>
  </w:endnote>
  <w:endnote w:type="continuationSeparator" w:id="0">
    <w:p w14:paraId="61FF1443" w14:textId="77777777" w:rsidR="00210624" w:rsidRDefault="00210624"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6C1A2" w14:textId="77777777" w:rsidR="00210624" w:rsidRDefault="00210624" w:rsidP="008E3F17">
      <w:r>
        <w:separator/>
      </w:r>
    </w:p>
  </w:footnote>
  <w:footnote w:type="continuationSeparator" w:id="0">
    <w:p w14:paraId="5E4BDD2A" w14:textId="77777777" w:rsidR="00210624" w:rsidRDefault="00210624"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1E060B2D"/>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AE0912"/>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0"/>
  </w:num>
  <w:num w:numId="2">
    <w:abstractNumId w:val="1"/>
  </w:num>
  <w:num w:numId="3">
    <w:abstractNumId w:val="4"/>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77E2F"/>
    <w:rsid w:val="00096FD1"/>
    <w:rsid w:val="000A10AA"/>
    <w:rsid w:val="000D703F"/>
    <w:rsid w:val="0010751E"/>
    <w:rsid w:val="001641BE"/>
    <w:rsid w:val="00166ADC"/>
    <w:rsid w:val="00167463"/>
    <w:rsid w:val="001B1DEC"/>
    <w:rsid w:val="001C1555"/>
    <w:rsid w:val="001C4183"/>
    <w:rsid w:val="001D133D"/>
    <w:rsid w:val="001F6E3C"/>
    <w:rsid w:val="00210624"/>
    <w:rsid w:val="0022143D"/>
    <w:rsid w:val="002414DE"/>
    <w:rsid w:val="00255682"/>
    <w:rsid w:val="0027228A"/>
    <w:rsid w:val="00277263"/>
    <w:rsid w:val="0028176C"/>
    <w:rsid w:val="0028326C"/>
    <w:rsid w:val="00296C3A"/>
    <w:rsid w:val="0029731D"/>
    <w:rsid w:val="002C6A55"/>
    <w:rsid w:val="002D472F"/>
    <w:rsid w:val="002E7A25"/>
    <w:rsid w:val="00322527"/>
    <w:rsid w:val="00341204"/>
    <w:rsid w:val="003857DC"/>
    <w:rsid w:val="003E3DFB"/>
    <w:rsid w:val="003E6784"/>
    <w:rsid w:val="003F5F7C"/>
    <w:rsid w:val="003F7EFF"/>
    <w:rsid w:val="00451285"/>
    <w:rsid w:val="004706E7"/>
    <w:rsid w:val="00493C21"/>
    <w:rsid w:val="004B4C81"/>
    <w:rsid w:val="004C603E"/>
    <w:rsid w:val="004D3398"/>
    <w:rsid w:val="004D52FB"/>
    <w:rsid w:val="004E6EB5"/>
    <w:rsid w:val="00552B0E"/>
    <w:rsid w:val="00561D18"/>
    <w:rsid w:val="0058053E"/>
    <w:rsid w:val="005A0333"/>
    <w:rsid w:val="005D1CCA"/>
    <w:rsid w:val="006356D2"/>
    <w:rsid w:val="006626A1"/>
    <w:rsid w:val="00691D9C"/>
    <w:rsid w:val="007013E4"/>
    <w:rsid w:val="00746783"/>
    <w:rsid w:val="00774B84"/>
    <w:rsid w:val="00782AFC"/>
    <w:rsid w:val="0080650A"/>
    <w:rsid w:val="00835F62"/>
    <w:rsid w:val="00854485"/>
    <w:rsid w:val="008570A5"/>
    <w:rsid w:val="008A1DE9"/>
    <w:rsid w:val="008E3F17"/>
    <w:rsid w:val="009B29A5"/>
    <w:rsid w:val="00A02AE8"/>
    <w:rsid w:val="00A640EC"/>
    <w:rsid w:val="00A74695"/>
    <w:rsid w:val="00A93155"/>
    <w:rsid w:val="00A95F2F"/>
    <w:rsid w:val="00AB7878"/>
    <w:rsid w:val="00AD55E4"/>
    <w:rsid w:val="00AE2B6F"/>
    <w:rsid w:val="00B12514"/>
    <w:rsid w:val="00B212D1"/>
    <w:rsid w:val="00BC783C"/>
    <w:rsid w:val="00C22863"/>
    <w:rsid w:val="00C61F37"/>
    <w:rsid w:val="00C82FDD"/>
    <w:rsid w:val="00CE19C5"/>
    <w:rsid w:val="00CE2794"/>
    <w:rsid w:val="00CE5523"/>
    <w:rsid w:val="00D24309"/>
    <w:rsid w:val="00D57535"/>
    <w:rsid w:val="00DA4156"/>
    <w:rsid w:val="00DB3F81"/>
    <w:rsid w:val="00DC5DFD"/>
    <w:rsid w:val="00DD2DEC"/>
    <w:rsid w:val="00E33D3D"/>
    <w:rsid w:val="00E50BD5"/>
    <w:rsid w:val="00EB4304"/>
    <w:rsid w:val="00EB59A7"/>
    <w:rsid w:val="00EE51D9"/>
    <w:rsid w:val="00F05FDA"/>
    <w:rsid w:val="00F1407B"/>
    <w:rsid w:val="00F3007B"/>
    <w:rsid w:val="00F502A7"/>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 w:type="paragraph" w:styleId="ab">
    <w:name w:val="Date"/>
    <w:basedOn w:val="a"/>
    <w:next w:val="a"/>
    <w:link w:val="ac"/>
    <w:semiHidden/>
    <w:rsid w:val="006356D2"/>
    <w:pPr>
      <w:widowControl/>
      <w:jc w:val="left"/>
    </w:pPr>
    <w:rPr>
      <w:rFonts w:ascii="Times New Roman" w:hAnsi="Times New Roman"/>
      <w:szCs w:val="24"/>
    </w:rPr>
  </w:style>
  <w:style w:type="character" w:customStyle="1" w:styleId="ac">
    <w:name w:val="日期 字符"/>
    <w:basedOn w:val="a0"/>
    <w:link w:val="ab"/>
    <w:semiHidden/>
    <w:rsid w:val="006356D2"/>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Pages>
  <Words>708</Words>
  <Characters>4042</Characters>
  <Application>Microsoft Office Word</Application>
  <DocSecurity>0</DocSecurity>
  <Lines>33</Lines>
  <Paragraphs>9</Paragraphs>
  <ScaleCrop>false</ScaleCrop>
  <Company>Sky123.Org</Company>
  <LinksUpToDate>false</LinksUpToDate>
  <CharactersWithSpaces>4741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50</cp:revision>
  <dcterms:created xsi:type="dcterms:W3CDTF">2021-04-29T10:17:00Z</dcterms:created>
  <dcterms:modified xsi:type="dcterms:W3CDTF">2021-05-07T02:11:00Z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